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9C9E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附件1</w:t>
      </w:r>
    </w:p>
    <w:p w14:paraId="5A3C7B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 w14:paraId="3DF70A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</w:rPr>
        <w:t>甘肃开放大学2026年度校级科研项目选题指南</w:t>
      </w:r>
    </w:p>
    <w:p w14:paraId="43DE1A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为精准对接国家战略、区域发展需求及学校“十五五”事业发展规划，聚焦“数字赋能终身教育服务学习型社会、学习型大国建设”“构建泛在可及的终身教育体系”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等</w:t>
      </w:r>
      <w:r>
        <w:rPr>
          <w:rFonts w:hint="eastAsia" w:ascii="仿宋" w:hAnsi="仿宋" w:eastAsia="仿宋" w:cs="仿宋"/>
          <w:sz w:val="32"/>
          <w:szCs w:val="32"/>
        </w:rPr>
        <w:t>核心主题，结合学校拟建重点与特色专业布局，统筹科研发展重点，特制定本选题指南。本指南为申报方向指引，申报人可结合研究基础与实际需求自行拟定具体题目，需突出国家战略、学术深度，彰显开放大学服务甘肃经济社会发展和产业转型的价值与作为。</w:t>
      </w:r>
    </w:p>
    <w:p w14:paraId="52214C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both"/>
        <w:textAlignment w:val="auto"/>
        <w:outlineLvl w:val="1"/>
        <w:rPr>
          <w:rFonts w:hint="eastAsia" w:ascii="黑体" w:hAnsi="黑体" w:eastAsia="黑体" w:cs="黑体"/>
          <w:b w:val="0"/>
          <w:bCs/>
          <w:sz w:val="32"/>
          <w:szCs w:val="32"/>
        </w:rPr>
      </w:pPr>
      <w:bookmarkStart w:id="0" w:name="heading_0"/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一、数字赋能终身教育体系构建研究</w:t>
      </w:r>
      <w:bookmarkEnd w:id="0"/>
    </w:p>
    <w:p w14:paraId="13E6C1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1. </w:t>
      </w:r>
      <w:r>
        <w:rPr>
          <w:rFonts w:hint="eastAsia" w:ascii="仿宋" w:hAnsi="仿宋" w:eastAsia="仿宋" w:cs="仿宋"/>
          <w:sz w:val="32"/>
          <w:szCs w:val="32"/>
        </w:rPr>
        <w:t>数智技术赋能泛在可及终身教育体系的理论与实践研究</w:t>
      </w:r>
    </w:p>
    <w:p w14:paraId="42EA41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2. </w:t>
      </w:r>
      <w:r>
        <w:rPr>
          <w:rFonts w:hint="eastAsia" w:ascii="仿宋" w:hAnsi="仿宋" w:eastAsia="仿宋" w:cs="仿宋"/>
          <w:sz w:val="32"/>
          <w:szCs w:val="32"/>
        </w:rPr>
        <w:t>新形态国家数字大学建设的路径与甘肃实践探索</w:t>
      </w:r>
    </w:p>
    <w:p w14:paraId="470FED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3. </w:t>
      </w:r>
      <w:r>
        <w:rPr>
          <w:rFonts w:hint="eastAsia" w:ascii="仿宋" w:hAnsi="仿宋" w:eastAsia="仿宋" w:cs="仿宋"/>
          <w:sz w:val="32"/>
          <w:szCs w:val="32"/>
        </w:rPr>
        <w:t>数字化转型背景下开放教育教学模式创新与成效评估</w:t>
      </w:r>
    </w:p>
    <w:p w14:paraId="35E0E1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4. </w:t>
      </w:r>
      <w:r>
        <w:rPr>
          <w:rFonts w:hint="eastAsia" w:ascii="仿宋" w:hAnsi="仿宋" w:eastAsia="仿宋" w:cs="仿宋"/>
          <w:sz w:val="32"/>
          <w:szCs w:val="32"/>
        </w:rPr>
        <w:t>数字技术支撑下学习型城市、学习型社区建设的甘肃方案</w:t>
      </w:r>
    </w:p>
    <w:p w14:paraId="470631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5. </w:t>
      </w:r>
      <w:r>
        <w:rPr>
          <w:rFonts w:hint="eastAsia" w:ascii="仿宋" w:hAnsi="仿宋" w:eastAsia="仿宋" w:cs="仿宋"/>
          <w:sz w:val="32"/>
          <w:szCs w:val="32"/>
        </w:rPr>
        <w:t>开放大学数字化教学资源共建共享机制研究</w:t>
      </w:r>
    </w:p>
    <w:p w14:paraId="797AF0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6. </w:t>
      </w:r>
      <w:r>
        <w:rPr>
          <w:rFonts w:hint="eastAsia" w:ascii="仿宋" w:hAnsi="仿宋" w:eastAsia="仿宋" w:cs="仿宋"/>
          <w:sz w:val="32"/>
          <w:szCs w:val="32"/>
        </w:rPr>
        <w:t>数智赋能开放教育教师队伍专业发展的路径与策略</w:t>
      </w:r>
    </w:p>
    <w:p w14:paraId="73AA24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7. </w:t>
      </w:r>
      <w:r>
        <w:rPr>
          <w:rFonts w:hint="eastAsia" w:ascii="仿宋" w:hAnsi="仿宋" w:eastAsia="仿宋" w:cs="仿宋"/>
          <w:sz w:val="32"/>
          <w:szCs w:val="32"/>
        </w:rPr>
        <w:t>网络与新媒体技术在终身教育中的应用研究</w:t>
      </w:r>
    </w:p>
    <w:p w14:paraId="057987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8. </w:t>
      </w:r>
      <w:r>
        <w:rPr>
          <w:rFonts w:hint="eastAsia" w:ascii="仿宋" w:hAnsi="仿宋" w:eastAsia="仿宋" w:cs="仿宋"/>
          <w:sz w:val="32"/>
          <w:szCs w:val="32"/>
        </w:rPr>
        <w:t>县域终身教育数字化服务平台建设与实践研究</w:t>
      </w:r>
    </w:p>
    <w:p w14:paraId="02D90B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9. 教育大数据驱动下开放教育精准教学模式构建研究</w:t>
      </w:r>
    </w:p>
    <w:p w14:paraId="5E59B46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生成式AI在开放教育课程设计与教学支持中的应用研究</w:t>
      </w:r>
    </w:p>
    <w:p w14:paraId="25B3709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黄河流域开放大学联盟资源协同共享机制研究</w:t>
      </w:r>
    </w:p>
    <w:p w14:paraId="16E432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both"/>
        <w:textAlignment w:val="auto"/>
        <w:outlineLvl w:val="1"/>
        <w:rPr>
          <w:rFonts w:hint="eastAsia" w:ascii="仿宋" w:hAnsi="仿宋" w:eastAsia="仿宋" w:cs="仿宋"/>
          <w:sz w:val="32"/>
          <w:szCs w:val="32"/>
        </w:rPr>
      </w:pPr>
      <w:bookmarkStart w:id="1" w:name="heading_1"/>
      <w:r>
        <w:rPr>
          <w:rFonts w:hint="eastAsia" w:ascii="黑体" w:hAnsi="黑体" w:eastAsia="黑体" w:cs="黑体"/>
          <w:b w:val="0"/>
          <w:bCs/>
          <w:sz w:val="32"/>
          <w:szCs w:val="32"/>
        </w:rPr>
        <w:t>二、开放大学改革与高质量发展研究</w:t>
      </w:r>
      <w:bookmarkEnd w:id="1"/>
    </w:p>
    <w:p w14:paraId="3C3148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1. </w:t>
      </w:r>
      <w:r>
        <w:rPr>
          <w:rFonts w:hint="eastAsia" w:ascii="仿宋" w:hAnsi="仿宋" w:eastAsia="仿宋" w:cs="仿宋"/>
          <w:sz w:val="32"/>
          <w:szCs w:val="32"/>
        </w:rPr>
        <w:t>省级开放大学服务教育强国建设的措施与路径研究</w:t>
      </w:r>
    </w:p>
    <w:p w14:paraId="304F60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2. </w:t>
      </w:r>
      <w:r>
        <w:rPr>
          <w:rFonts w:hint="eastAsia" w:ascii="仿宋" w:hAnsi="仿宋" w:eastAsia="仿宋" w:cs="仿宋"/>
          <w:sz w:val="32"/>
          <w:szCs w:val="32"/>
        </w:rPr>
        <w:t>开放大学办学模式创新与教育公平实现机制研究</w:t>
      </w:r>
    </w:p>
    <w:p w14:paraId="3B0A58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3. </w:t>
      </w:r>
      <w:r>
        <w:rPr>
          <w:rFonts w:hint="eastAsia" w:ascii="仿宋" w:hAnsi="仿宋" w:eastAsia="仿宋" w:cs="仿宋"/>
          <w:sz w:val="32"/>
          <w:szCs w:val="32"/>
        </w:rPr>
        <w:t>开放大学体系一体化办学协同机制优化研究</w:t>
      </w:r>
    </w:p>
    <w:p w14:paraId="545DC8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4. </w:t>
      </w:r>
      <w:r>
        <w:rPr>
          <w:rFonts w:hint="eastAsia" w:ascii="仿宋" w:hAnsi="仿宋" w:eastAsia="仿宋" w:cs="仿宋"/>
          <w:sz w:val="32"/>
          <w:szCs w:val="32"/>
        </w:rPr>
        <w:t>基层开放大学办学韧性评估与可持续发展能力建设研究</w:t>
      </w:r>
    </w:p>
    <w:p w14:paraId="020617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5. </w:t>
      </w:r>
      <w:r>
        <w:rPr>
          <w:rFonts w:hint="eastAsia" w:ascii="仿宋" w:hAnsi="仿宋" w:eastAsia="仿宋" w:cs="仿宋"/>
          <w:sz w:val="32"/>
          <w:szCs w:val="32"/>
        </w:rPr>
        <w:t>县级开放大学高质量发展的理论与实践研究</w:t>
      </w:r>
    </w:p>
    <w:p w14:paraId="092E11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6. </w:t>
      </w:r>
      <w:r>
        <w:rPr>
          <w:rFonts w:hint="eastAsia" w:ascii="仿宋" w:hAnsi="仿宋" w:eastAsia="仿宋" w:cs="仿宋"/>
          <w:sz w:val="32"/>
          <w:szCs w:val="32"/>
        </w:rPr>
        <w:t>开放大学治理体系和治理能力现代化建设研究</w:t>
      </w:r>
    </w:p>
    <w:p w14:paraId="16BF66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7. </w:t>
      </w:r>
      <w:r>
        <w:rPr>
          <w:rFonts w:hint="eastAsia" w:ascii="仿宋" w:hAnsi="仿宋" w:eastAsia="仿宋" w:cs="仿宋"/>
          <w:sz w:val="32"/>
          <w:szCs w:val="32"/>
        </w:rPr>
        <w:t>省级开放大学与高等职业教育一体化融合发展路径研究</w:t>
      </w:r>
    </w:p>
    <w:p w14:paraId="33F93A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8. </w:t>
      </w:r>
      <w:r>
        <w:rPr>
          <w:rFonts w:hint="eastAsia" w:ascii="仿宋" w:hAnsi="仿宋" w:eastAsia="仿宋" w:cs="仿宋"/>
          <w:sz w:val="32"/>
          <w:szCs w:val="32"/>
        </w:rPr>
        <w:t>开放大学“职继普”融通一体化人才培养模式实践研究</w:t>
      </w:r>
    </w:p>
    <w:p w14:paraId="739676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. 开放大学立德树人工程与课程思政融合实践研究</w:t>
      </w:r>
    </w:p>
    <w:p w14:paraId="39D13B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. 开放大学办学质量保证体系构建与实施路径研究</w:t>
      </w:r>
    </w:p>
    <w:p w14:paraId="2F425B8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11. 省级统筹与基层自治的平衡：开放大学体系“扁平化”治理结构探索研究</w:t>
      </w:r>
    </w:p>
    <w:p w14:paraId="6C896A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both"/>
        <w:textAlignment w:val="auto"/>
        <w:outlineLvl w:val="1"/>
        <w:rPr>
          <w:rFonts w:hint="eastAsia" w:ascii="黑体" w:hAnsi="黑体" w:eastAsia="黑体" w:cs="黑体"/>
          <w:b w:val="0"/>
          <w:bCs/>
          <w:sz w:val="32"/>
          <w:szCs w:val="32"/>
        </w:rPr>
      </w:pPr>
      <w:bookmarkStart w:id="2" w:name="heading_2"/>
      <w:r>
        <w:rPr>
          <w:rFonts w:hint="eastAsia" w:ascii="黑体" w:hAnsi="黑体" w:eastAsia="黑体" w:cs="黑体"/>
          <w:b w:val="0"/>
          <w:bCs/>
          <w:sz w:val="32"/>
          <w:szCs w:val="32"/>
        </w:rPr>
        <w:t>三、老年教育与健康养老服务研究</w:t>
      </w:r>
      <w:bookmarkEnd w:id="2"/>
    </w:p>
    <w:p w14:paraId="22EFD36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1. </w:t>
      </w:r>
      <w:r>
        <w:rPr>
          <w:rFonts w:hint="eastAsia" w:ascii="仿宋" w:hAnsi="仿宋" w:eastAsia="仿宋" w:cs="仿宋"/>
          <w:sz w:val="32"/>
          <w:szCs w:val="32"/>
        </w:rPr>
        <w:t>国家老年大学可持续发展模式的区域适配性研究（甘肃案例）</w:t>
      </w:r>
    </w:p>
    <w:p w14:paraId="638580B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2. </w:t>
      </w:r>
      <w:r>
        <w:rPr>
          <w:rFonts w:hint="eastAsia" w:ascii="仿宋" w:hAnsi="仿宋" w:eastAsia="仿宋" w:cs="仿宋"/>
          <w:sz w:val="32"/>
          <w:szCs w:val="32"/>
        </w:rPr>
        <w:t>社区嵌入式老年教育服务模式的甘肃实践研究</w:t>
      </w:r>
    </w:p>
    <w:p w14:paraId="6272A1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3. </w:t>
      </w:r>
      <w:r>
        <w:rPr>
          <w:rFonts w:hint="eastAsia" w:ascii="仿宋" w:hAnsi="仿宋" w:eastAsia="仿宋" w:cs="仿宋"/>
          <w:sz w:val="32"/>
          <w:szCs w:val="32"/>
        </w:rPr>
        <w:t>智慧健康养老服务与管理专业对接老年教育的实践创新</w:t>
      </w:r>
    </w:p>
    <w:p w14:paraId="73F385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4. </w:t>
      </w:r>
      <w:r>
        <w:rPr>
          <w:rFonts w:hint="eastAsia" w:ascii="仿宋" w:hAnsi="仿宋" w:eastAsia="仿宋" w:cs="仿宋"/>
          <w:sz w:val="32"/>
          <w:szCs w:val="32"/>
        </w:rPr>
        <w:t>现代家政服务与管理融入老年照护教育的路径研究</w:t>
      </w:r>
    </w:p>
    <w:p w14:paraId="239ADC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5. </w:t>
      </w:r>
      <w:r>
        <w:rPr>
          <w:rFonts w:hint="eastAsia" w:ascii="仿宋" w:hAnsi="仿宋" w:eastAsia="仿宋" w:cs="仿宋"/>
          <w:sz w:val="32"/>
          <w:szCs w:val="32"/>
        </w:rPr>
        <w:t>适老化数字教育资源开发与老年群体数字素养提升研究</w:t>
      </w:r>
    </w:p>
    <w:p w14:paraId="5EFC6D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6. </w:t>
      </w:r>
      <w:r>
        <w:rPr>
          <w:rFonts w:hint="eastAsia" w:ascii="仿宋" w:hAnsi="仿宋" w:eastAsia="仿宋" w:cs="仿宋"/>
          <w:sz w:val="32"/>
          <w:szCs w:val="32"/>
        </w:rPr>
        <w:t>甘肃农村地区老年教育发展现状与优化策略研究</w:t>
      </w:r>
    </w:p>
    <w:p w14:paraId="7D7FC1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0B6133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both"/>
        <w:textAlignment w:val="auto"/>
        <w:outlineLvl w:val="1"/>
        <w:rPr>
          <w:rFonts w:hint="eastAsia" w:ascii="黑体" w:hAnsi="黑体" w:eastAsia="黑体" w:cs="黑体"/>
          <w:sz w:val="32"/>
          <w:szCs w:val="32"/>
        </w:rPr>
      </w:pPr>
      <w:bookmarkStart w:id="3" w:name="heading_3"/>
      <w:r>
        <w:rPr>
          <w:rFonts w:hint="eastAsia" w:ascii="黑体" w:hAnsi="黑体" w:eastAsia="黑体" w:cs="黑体"/>
          <w:b w:val="0"/>
          <w:bCs/>
          <w:sz w:val="32"/>
          <w:szCs w:val="32"/>
        </w:rPr>
        <w:t>四、学分银行与学习成果认证研究</w:t>
      </w:r>
      <w:bookmarkEnd w:id="3"/>
    </w:p>
    <w:p w14:paraId="002A36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1. </w:t>
      </w:r>
      <w:r>
        <w:rPr>
          <w:rFonts w:hint="eastAsia" w:ascii="仿宋" w:hAnsi="仿宋" w:eastAsia="仿宋" w:cs="仿宋"/>
          <w:sz w:val="32"/>
          <w:szCs w:val="32"/>
        </w:rPr>
        <w:t>国家学分银行建设与学习成果认证、积累、转换机制研究</w:t>
      </w:r>
    </w:p>
    <w:p w14:paraId="6E143C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2. </w:t>
      </w:r>
      <w:r>
        <w:rPr>
          <w:rFonts w:hint="eastAsia" w:ascii="仿宋" w:hAnsi="仿宋" w:eastAsia="仿宋" w:cs="仿宋"/>
          <w:sz w:val="32"/>
          <w:szCs w:val="32"/>
        </w:rPr>
        <w:t>开放大学学分银行在终身教育资历框架中的应用研究</w:t>
      </w:r>
    </w:p>
    <w:p w14:paraId="5F522A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3. </w:t>
      </w:r>
      <w:r>
        <w:rPr>
          <w:rFonts w:hint="eastAsia" w:ascii="仿宋" w:hAnsi="仿宋" w:eastAsia="仿宋" w:cs="仿宋"/>
          <w:sz w:val="32"/>
          <w:szCs w:val="32"/>
        </w:rPr>
        <w:t>职业教育与继续教育学习成果互认的实践路径研究</w:t>
      </w:r>
    </w:p>
    <w:p w14:paraId="1E08C8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4. </w:t>
      </w:r>
      <w:r>
        <w:rPr>
          <w:rFonts w:hint="eastAsia" w:ascii="仿宋" w:hAnsi="仿宋" w:eastAsia="仿宋" w:cs="仿宋"/>
          <w:sz w:val="32"/>
          <w:szCs w:val="32"/>
        </w:rPr>
        <w:t>学分银行支撑“一村一”项目学员学历提升与技能认证研究</w:t>
      </w:r>
    </w:p>
    <w:p w14:paraId="56F172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both"/>
        <w:textAlignment w:val="auto"/>
        <w:outlineLvl w:val="1"/>
        <w:rPr>
          <w:rFonts w:hint="eastAsia" w:ascii="黑体" w:hAnsi="黑体" w:eastAsia="黑体" w:cs="黑体"/>
          <w:b w:val="0"/>
          <w:bCs/>
          <w:sz w:val="32"/>
          <w:szCs w:val="32"/>
        </w:rPr>
      </w:pPr>
      <w:bookmarkStart w:id="4" w:name="heading_4"/>
      <w:r>
        <w:rPr>
          <w:rFonts w:hint="eastAsia" w:ascii="黑体" w:hAnsi="黑体" w:eastAsia="黑体" w:cs="黑体"/>
          <w:b w:val="0"/>
          <w:bCs/>
          <w:sz w:val="32"/>
          <w:szCs w:val="32"/>
        </w:rPr>
        <w:t>五、服务甘肃经济社会发展与产业转型研究</w:t>
      </w:r>
      <w:bookmarkEnd w:id="4"/>
    </w:p>
    <w:p w14:paraId="4CC568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1. </w:t>
      </w:r>
      <w:r>
        <w:rPr>
          <w:rFonts w:hint="eastAsia" w:ascii="仿宋" w:hAnsi="仿宋" w:eastAsia="仿宋" w:cs="仿宋"/>
          <w:sz w:val="32"/>
          <w:szCs w:val="32"/>
        </w:rPr>
        <w:t>开放大学服务甘肃“一带一路”建设的国际交流合作研究</w:t>
      </w:r>
    </w:p>
    <w:p w14:paraId="1380711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2. </w:t>
      </w:r>
      <w:r>
        <w:rPr>
          <w:rFonts w:hint="eastAsia" w:ascii="仿宋" w:hAnsi="仿宋" w:eastAsia="仿宋" w:cs="仿宋"/>
          <w:sz w:val="32"/>
          <w:szCs w:val="32"/>
        </w:rPr>
        <w:t>甘肃特色产业人才终身学习需求与开放大学人才培养适配性研究</w:t>
      </w:r>
    </w:p>
    <w:p w14:paraId="36EC5E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 非遗传承与开放教育融合的甘肃实践研究</w:t>
      </w:r>
    </w:p>
    <w:p w14:paraId="4AB826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4. </w:t>
      </w:r>
      <w:r>
        <w:rPr>
          <w:rFonts w:hint="eastAsia" w:ascii="仿宋" w:hAnsi="仿宋" w:eastAsia="仿宋" w:cs="仿宋"/>
          <w:sz w:val="32"/>
          <w:szCs w:val="32"/>
        </w:rPr>
        <w:t>电子商务（农副产品营销方向）助力甘肃乡村振兴的实践研究</w:t>
      </w:r>
    </w:p>
    <w:p w14:paraId="13FACA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5. </w:t>
      </w:r>
      <w:r>
        <w:rPr>
          <w:rFonts w:hint="eastAsia" w:ascii="仿宋" w:hAnsi="仿宋" w:eastAsia="仿宋" w:cs="仿宋"/>
          <w:sz w:val="32"/>
          <w:szCs w:val="32"/>
        </w:rPr>
        <w:t>中药学专业对接甘肃中医药产业发展的实践探索</w:t>
      </w:r>
    </w:p>
    <w:p w14:paraId="7B8B9A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6. “黄丝带帮教”背景下狱内学历教育与技能培训融合研究</w:t>
      </w:r>
    </w:p>
    <w:p w14:paraId="3C0FEF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 狱内未成年罪犯文化素养提升的开放教育路径研究</w:t>
      </w:r>
    </w:p>
    <w:p w14:paraId="68974F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8. 监狱教育与社会教育衔接的开放大学服务模式研究</w:t>
      </w:r>
    </w:p>
    <w:p w14:paraId="555ED4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9. 黄河流域“生态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—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经济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—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社会”协同演化机制研究</w:t>
      </w:r>
      <w:bookmarkStart w:id="5" w:name="_GoBack"/>
      <w:bookmarkEnd w:id="5"/>
    </w:p>
    <w:p w14:paraId="68C2FA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10. 黄河上游水源涵养区生态系统服务功能提升路径研究</w:t>
      </w:r>
    </w:p>
    <w:sectPr>
      <w:headerReference r:id="rId3" w:type="default"/>
      <w:footerReference r:id="rId4" w:type="default"/>
      <w:pgSz w:w="11905" w:h="16840"/>
      <w:pgMar w:top="1440" w:right="1080" w:bottom="1440" w:left="10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87CABCA-57A8-4274-8936-915148F611B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1AAAF14-5C2A-474E-AE09-362A0B583FD8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68A79568-EA5D-4860-9CB8-2A8D2283889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F34DD584-2A93-4C01-AE64-CB10B89AF8A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67C5C6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701A3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12E9D8"/>
    <w:multiLevelType w:val="singleLevel"/>
    <w:tmpl w:val="DF12E9D8"/>
    <w:lvl w:ilvl="0" w:tentative="0">
      <w:start w:val="10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TrueTypeFonts/>
  <w:saveSubsetFonts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0612345"/>
    <w:rsid w:val="00C14B91"/>
    <w:rsid w:val="02BA5D3C"/>
    <w:rsid w:val="02DC5A07"/>
    <w:rsid w:val="077A3CEC"/>
    <w:rsid w:val="09524F20"/>
    <w:rsid w:val="0A344626"/>
    <w:rsid w:val="0C8C24F7"/>
    <w:rsid w:val="0E603C3C"/>
    <w:rsid w:val="13946135"/>
    <w:rsid w:val="1666200B"/>
    <w:rsid w:val="175D4AE9"/>
    <w:rsid w:val="183028D1"/>
    <w:rsid w:val="19BE215E"/>
    <w:rsid w:val="226B4E49"/>
    <w:rsid w:val="2A475858"/>
    <w:rsid w:val="2D32565C"/>
    <w:rsid w:val="2F3740ED"/>
    <w:rsid w:val="30BD0622"/>
    <w:rsid w:val="34313801"/>
    <w:rsid w:val="36F22B3E"/>
    <w:rsid w:val="37A147F9"/>
    <w:rsid w:val="3DF246FE"/>
    <w:rsid w:val="43212C92"/>
    <w:rsid w:val="43813731"/>
    <w:rsid w:val="4C15710C"/>
    <w:rsid w:val="4E8F31A6"/>
    <w:rsid w:val="53065A01"/>
    <w:rsid w:val="53D31D87"/>
    <w:rsid w:val="59A00BAE"/>
    <w:rsid w:val="5D7E2D63"/>
    <w:rsid w:val="5FAF36A8"/>
    <w:rsid w:val="76481D09"/>
    <w:rsid w:val="7E576F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1185</Words>
  <Characters>1227</Characters>
  <TotalTime>14</TotalTime>
  <ScaleCrop>false</ScaleCrop>
  <LinksUpToDate>false</LinksUpToDate>
  <CharactersWithSpaces>1268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2025-12-25T08:42:00Z</dcterms:created>
  <dc:creator>Apache POI</dc:creator>
  <cp:lastModifiedBy>杨晓帆</cp:lastModifiedBy>
  <dcterms:modified xsi:type="dcterms:W3CDTF">2026-01-28T01:37:16Z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eyJoZGlkIjoiMzQ1MGQzMjc5MDlmMGY5NWYxYzY4MDllMmVhYjFmNGUiLCJ1c2VySWQiOiI3MDQ0NzUxMTcifQ==</vt:lpwstr>
  </property>
  <property fmtid="{D5CDD505-2E9C-101B-9397-08002B2CF9AE}" pid="3" name="KSOProductBuildVer">
    <vt:lpwstr>2052-12.1.0.24657</vt:lpwstr>
  </property>
  <property fmtid="{D5CDD505-2E9C-101B-9397-08002B2CF9AE}" pid="4" name="ICV">
    <vt:lpwstr>8942AC79808D469C9AC8E3A4240929C7_12</vt:lpwstr>
  </property>
</Properties>
</file>